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996196" w14:textId="77777777" w:rsidR="0065429E" w:rsidRDefault="0065429E" w:rsidP="0065429E">
      <w:pPr>
        <w:pStyle w:val="Default"/>
        <w:jc w:val="both"/>
      </w:pPr>
    </w:p>
    <w:p w14:paraId="4F55298B" w14:textId="5B4465B2" w:rsidR="0065429E" w:rsidRDefault="00C32EC7" w:rsidP="00C32EC7">
      <w:pPr>
        <w:pStyle w:val="Default"/>
        <w:jc w:val="center"/>
        <w:rPr>
          <w:b/>
          <w:bCs/>
          <w:sz w:val="22"/>
          <w:szCs w:val="22"/>
          <w:u w:val="single"/>
          <w:lang w:val="en-US"/>
        </w:rPr>
      </w:pPr>
      <w:r w:rsidRPr="00C32EC7">
        <w:rPr>
          <w:b/>
          <w:bCs/>
          <w:sz w:val="22"/>
          <w:szCs w:val="22"/>
          <w:u w:val="single"/>
          <w:lang w:val="en-US"/>
        </w:rPr>
        <w:t>Villkor och bestämmelser</w:t>
      </w:r>
    </w:p>
    <w:p w14:paraId="5A676D3B" w14:textId="77777777" w:rsidR="00C32EC7" w:rsidRPr="0065429E" w:rsidRDefault="00C32EC7" w:rsidP="00C32EC7">
      <w:pPr>
        <w:pStyle w:val="Default"/>
        <w:jc w:val="center"/>
        <w:rPr>
          <w:sz w:val="22"/>
          <w:szCs w:val="22"/>
          <w:u w:val="single"/>
          <w:lang w:val="en-US"/>
        </w:rPr>
      </w:pPr>
    </w:p>
    <w:p w14:paraId="1575415A" w14:textId="77777777" w:rsidR="00C32EC7" w:rsidRPr="00C32EC7" w:rsidRDefault="00C32EC7" w:rsidP="00C32EC7">
      <w:pPr>
        <w:pStyle w:val="Default"/>
        <w:jc w:val="both"/>
        <w:rPr>
          <w:sz w:val="22"/>
          <w:szCs w:val="22"/>
          <w:lang w:val="en-US"/>
        </w:rPr>
      </w:pPr>
      <w:r w:rsidRPr="00C32EC7">
        <w:rPr>
          <w:sz w:val="22"/>
          <w:szCs w:val="22"/>
          <w:lang w:val="en-US"/>
        </w:rPr>
        <w:t>Följande villkor gäller för kampanjen ”90-dagars pengarna-tillbaka-garanti” som arrangeras av The Cookware Company BV, med säte på Klopperman 16, 2292JD Wateringen (Nederländerna), och organisationsnummer 27380288 (”</w:t>
      </w:r>
      <w:r w:rsidRPr="00C32EC7">
        <w:rPr>
          <w:b/>
          <w:bCs/>
          <w:sz w:val="22"/>
          <w:szCs w:val="22"/>
          <w:lang w:val="en-US"/>
        </w:rPr>
        <w:t>The Cookware Company</w:t>
      </w:r>
      <w:r w:rsidRPr="00C32EC7">
        <w:rPr>
          <w:sz w:val="22"/>
          <w:szCs w:val="22"/>
          <w:lang w:val="en-US"/>
        </w:rPr>
        <w:t>”).</w:t>
      </w:r>
    </w:p>
    <w:p w14:paraId="4E58E362" w14:textId="77777777" w:rsidR="00C32EC7" w:rsidRPr="00C32EC7" w:rsidRDefault="00C32EC7" w:rsidP="00C32EC7">
      <w:pPr>
        <w:pStyle w:val="Default"/>
        <w:jc w:val="both"/>
        <w:rPr>
          <w:sz w:val="22"/>
          <w:szCs w:val="22"/>
          <w:lang w:val="en-US"/>
        </w:rPr>
      </w:pPr>
    </w:p>
    <w:p w14:paraId="0F908431" w14:textId="4317FE53" w:rsidR="0065429E" w:rsidRDefault="00C32EC7" w:rsidP="00C32EC7">
      <w:pPr>
        <w:pStyle w:val="Default"/>
        <w:jc w:val="both"/>
        <w:rPr>
          <w:b/>
          <w:bCs/>
          <w:sz w:val="22"/>
          <w:szCs w:val="22"/>
          <w:lang w:val="en-US"/>
        </w:rPr>
      </w:pPr>
      <w:r w:rsidRPr="00C32EC7">
        <w:rPr>
          <w:sz w:val="22"/>
          <w:szCs w:val="22"/>
          <w:lang w:val="en-US"/>
        </w:rPr>
        <w:t>”90-dagars pengarna-tillbaka-garantin” innebär att du kan prova de deltagande produkterna under 90 dagar. Om du inte är nöjd har du rätt att returnera produkten och få en återbetalning i enlighet med dessa villkor (”</w:t>
      </w:r>
      <w:r w:rsidRPr="00C32EC7">
        <w:rPr>
          <w:b/>
          <w:bCs/>
          <w:sz w:val="22"/>
          <w:szCs w:val="22"/>
          <w:lang w:val="en-US"/>
        </w:rPr>
        <w:t>90-dagars pengarna-tillbaka-garanti</w:t>
      </w:r>
      <w:r w:rsidRPr="00C32EC7">
        <w:rPr>
          <w:sz w:val="22"/>
          <w:szCs w:val="22"/>
          <w:lang w:val="en-US"/>
        </w:rPr>
        <w:t>”).</w:t>
      </w:r>
    </w:p>
    <w:p w14:paraId="1A0ADB28" w14:textId="77777777" w:rsidR="00C32EC7" w:rsidRPr="0065429E" w:rsidRDefault="00C32EC7" w:rsidP="00C32EC7">
      <w:pPr>
        <w:pStyle w:val="Default"/>
        <w:jc w:val="both"/>
        <w:rPr>
          <w:sz w:val="22"/>
          <w:szCs w:val="22"/>
          <w:lang w:val="en-US"/>
        </w:rPr>
      </w:pPr>
    </w:p>
    <w:p w14:paraId="513D94D8" w14:textId="5470951C" w:rsidR="0065429E" w:rsidRDefault="00C32EC7" w:rsidP="0065429E">
      <w:pPr>
        <w:pStyle w:val="Default"/>
        <w:jc w:val="both"/>
        <w:rPr>
          <w:b/>
          <w:bCs/>
          <w:sz w:val="22"/>
          <w:szCs w:val="22"/>
          <w:u w:val="single"/>
          <w:lang w:val="en-US"/>
        </w:rPr>
      </w:pPr>
      <w:r w:rsidRPr="00C32EC7">
        <w:rPr>
          <w:b/>
          <w:bCs/>
          <w:sz w:val="22"/>
          <w:szCs w:val="22"/>
          <w:u w:val="single"/>
          <w:lang w:val="en-US"/>
        </w:rPr>
        <w:t>Villkor för återbetalning</w:t>
      </w:r>
    </w:p>
    <w:p w14:paraId="104C7CA8" w14:textId="77777777" w:rsidR="00C32EC7" w:rsidRPr="0065429E" w:rsidRDefault="00C32EC7" w:rsidP="0065429E">
      <w:pPr>
        <w:pStyle w:val="Default"/>
        <w:jc w:val="both"/>
        <w:rPr>
          <w:sz w:val="22"/>
          <w:szCs w:val="22"/>
          <w:lang w:val="en-US"/>
        </w:rPr>
      </w:pPr>
    </w:p>
    <w:p w14:paraId="7F0B0D2B" w14:textId="5BA16A2B" w:rsidR="00C32EC7" w:rsidRPr="00C32EC7" w:rsidRDefault="00C32EC7" w:rsidP="00C32EC7">
      <w:pPr>
        <w:pStyle w:val="Default"/>
        <w:jc w:val="both"/>
        <w:rPr>
          <w:sz w:val="22"/>
          <w:szCs w:val="22"/>
          <w:lang w:val="en-US"/>
        </w:rPr>
      </w:pPr>
      <w:r w:rsidRPr="00C32EC7">
        <w:rPr>
          <w:sz w:val="22"/>
          <w:szCs w:val="22"/>
          <w:lang w:val="en-US"/>
        </w:rPr>
        <w:t xml:space="preserve">Pengarna-tillbaka-garantin gäller för varje kastrull från KitchenAid Multi-Ply Stainless Steel och KitchenAid Forged Hardened Aluminum-serien, som köpts från och med </w:t>
      </w:r>
      <w:r w:rsidR="00E15970">
        <w:rPr>
          <w:sz w:val="22"/>
          <w:szCs w:val="22"/>
          <w:lang w:val="en-US"/>
        </w:rPr>
        <w:t>01/07/2024</w:t>
      </w:r>
      <w:r w:rsidRPr="00C32EC7">
        <w:rPr>
          <w:sz w:val="22"/>
          <w:szCs w:val="22"/>
          <w:lang w:val="en-US"/>
        </w:rPr>
        <w:t xml:space="preserve"> till och med </w:t>
      </w:r>
      <w:r w:rsidR="00E15970">
        <w:rPr>
          <w:sz w:val="22"/>
          <w:szCs w:val="22"/>
          <w:lang w:val="en-US"/>
        </w:rPr>
        <w:t>30/09/2024</w:t>
      </w:r>
      <w:r w:rsidRPr="00C32EC7">
        <w:rPr>
          <w:sz w:val="22"/>
          <w:szCs w:val="22"/>
          <w:lang w:val="en-US"/>
        </w:rPr>
        <w:t xml:space="preserve"> hos Bagaren Och kocken (”</w:t>
      </w:r>
      <w:r w:rsidRPr="00C32EC7">
        <w:rPr>
          <w:b/>
          <w:bCs/>
          <w:sz w:val="22"/>
          <w:szCs w:val="22"/>
          <w:lang w:val="en-US"/>
        </w:rPr>
        <w:t>Återförsäljaren</w:t>
      </w:r>
      <w:r w:rsidRPr="00C32EC7">
        <w:rPr>
          <w:sz w:val="22"/>
          <w:szCs w:val="22"/>
          <w:lang w:val="en-US"/>
        </w:rPr>
        <w:t>”).</w:t>
      </w:r>
    </w:p>
    <w:p w14:paraId="66051BC3" w14:textId="77777777" w:rsidR="00C32EC7" w:rsidRPr="00C32EC7" w:rsidRDefault="00C32EC7" w:rsidP="00C32EC7">
      <w:pPr>
        <w:pStyle w:val="Default"/>
        <w:jc w:val="both"/>
        <w:rPr>
          <w:sz w:val="22"/>
          <w:szCs w:val="22"/>
          <w:lang w:val="en-US"/>
        </w:rPr>
      </w:pPr>
    </w:p>
    <w:p w14:paraId="6D06EC77" w14:textId="77777777" w:rsidR="00C32EC7" w:rsidRPr="00C32EC7" w:rsidRDefault="00C32EC7" w:rsidP="00C32EC7">
      <w:pPr>
        <w:pStyle w:val="Default"/>
        <w:jc w:val="both"/>
        <w:rPr>
          <w:sz w:val="22"/>
          <w:szCs w:val="22"/>
        </w:rPr>
      </w:pPr>
      <w:r w:rsidRPr="00C32EC7">
        <w:rPr>
          <w:sz w:val="22"/>
          <w:szCs w:val="22"/>
        </w:rPr>
        <w:t>Du kan endast delta i pengarna-tillbaka-garantin en gång per hushåll och leveransadress.</w:t>
      </w:r>
    </w:p>
    <w:p w14:paraId="3DAA8F43" w14:textId="77777777" w:rsidR="00C32EC7" w:rsidRPr="00C32EC7" w:rsidRDefault="00C32EC7" w:rsidP="00C32EC7">
      <w:pPr>
        <w:pStyle w:val="Default"/>
        <w:jc w:val="both"/>
        <w:rPr>
          <w:sz w:val="22"/>
          <w:szCs w:val="22"/>
        </w:rPr>
      </w:pPr>
    </w:p>
    <w:p w14:paraId="5346C4E5" w14:textId="77777777" w:rsidR="00C32EC7" w:rsidRPr="00C32EC7" w:rsidRDefault="00C32EC7" w:rsidP="00C32EC7">
      <w:pPr>
        <w:pStyle w:val="Default"/>
        <w:jc w:val="both"/>
        <w:rPr>
          <w:sz w:val="22"/>
          <w:szCs w:val="22"/>
        </w:rPr>
      </w:pPr>
      <w:r w:rsidRPr="00C32EC7">
        <w:rPr>
          <w:sz w:val="22"/>
          <w:szCs w:val="22"/>
        </w:rPr>
        <w:t>Återbetalningen inkluderar kostnaden för kastrullen. Under inga omständigheter kommer de ursprungliga leveranskostnaderna att återbetalas.</w:t>
      </w:r>
    </w:p>
    <w:p w14:paraId="5CFC70F0" w14:textId="77777777" w:rsidR="00C32EC7" w:rsidRPr="00C32EC7" w:rsidRDefault="00C32EC7" w:rsidP="00C32EC7">
      <w:pPr>
        <w:pStyle w:val="Default"/>
        <w:jc w:val="both"/>
        <w:rPr>
          <w:sz w:val="22"/>
          <w:szCs w:val="22"/>
        </w:rPr>
      </w:pPr>
    </w:p>
    <w:p w14:paraId="701C200F" w14:textId="5B8588AB" w:rsidR="0065429E" w:rsidRDefault="00C32EC7" w:rsidP="00C32EC7">
      <w:pPr>
        <w:pStyle w:val="Default"/>
        <w:jc w:val="both"/>
        <w:rPr>
          <w:sz w:val="22"/>
          <w:szCs w:val="22"/>
        </w:rPr>
      </w:pPr>
      <w:r w:rsidRPr="00C32EC7">
        <w:rPr>
          <w:sz w:val="22"/>
          <w:szCs w:val="22"/>
        </w:rPr>
        <w:t>Pengarna-tillbaka-garantin gäller endast för slutkonsumenter som är bosatta i Sverige och som är minst 18 år gamla vid tidpunkten för deltagandet. Deltagande i Pengarna-tillbaka-garantin är inte tillgängligt för yrkesverksamma av något slag.</w:t>
      </w:r>
    </w:p>
    <w:p w14:paraId="19303738" w14:textId="77777777" w:rsidR="00C32EC7" w:rsidRPr="00C32EC7" w:rsidRDefault="00C32EC7" w:rsidP="00C32EC7">
      <w:pPr>
        <w:pStyle w:val="Default"/>
        <w:jc w:val="both"/>
        <w:rPr>
          <w:sz w:val="22"/>
          <w:szCs w:val="22"/>
        </w:rPr>
      </w:pPr>
    </w:p>
    <w:p w14:paraId="213EF350" w14:textId="78610970" w:rsidR="0065429E" w:rsidRPr="00E15970" w:rsidRDefault="00C32EC7" w:rsidP="0065429E">
      <w:pPr>
        <w:pStyle w:val="Default"/>
        <w:jc w:val="both"/>
        <w:rPr>
          <w:b/>
          <w:bCs/>
          <w:sz w:val="22"/>
          <w:szCs w:val="22"/>
          <w:u w:val="single"/>
        </w:rPr>
      </w:pPr>
      <w:r w:rsidRPr="00E15970">
        <w:rPr>
          <w:b/>
          <w:bCs/>
          <w:sz w:val="22"/>
          <w:szCs w:val="22"/>
          <w:u w:val="single"/>
        </w:rPr>
        <w:t>Förfarande</w:t>
      </w:r>
    </w:p>
    <w:p w14:paraId="40ED0556" w14:textId="77777777" w:rsidR="00C32EC7" w:rsidRPr="00E15970" w:rsidRDefault="00C32EC7" w:rsidP="0065429E">
      <w:pPr>
        <w:pStyle w:val="Default"/>
        <w:jc w:val="both"/>
        <w:rPr>
          <w:sz w:val="22"/>
          <w:szCs w:val="22"/>
        </w:rPr>
      </w:pPr>
    </w:p>
    <w:p w14:paraId="0306A184" w14:textId="092EF220" w:rsidR="0065429E" w:rsidRPr="00E15970" w:rsidRDefault="00C32EC7" w:rsidP="0065429E">
      <w:pPr>
        <w:pStyle w:val="Default"/>
        <w:jc w:val="both"/>
        <w:rPr>
          <w:sz w:val="22"/>
          <w:szCs w:val="22"/>
        </w:rPr>
      </w:pPr>
      <w:r w:rsidRPr="00E15970">
        <w:rPr>
          <w:sz w:val="22"/>
          <w:szCs w:val="22"/>
        </w:rPr>
        <w:t xml:space="preserve">För att omfattas av återbetalningsgarantin måste du kontakta The Cookware Companys kundtjänst via https://support.kitchenaidtools.com/ senast 90 dagar efter inköpsdatumet. </w:t>
      </w:r>
    </w:p>
    <w:p w14:paraId="743C4E17" w14:textId="77777777" w:rsidR="00C32EC7" w:rsidRPr="00E15970" w:rsidRDefault="00C32EC7" w:rsidP="0065429E">
      <w:pPr>
        <w:pStyle w:val="Default"/>
        <w:jc w:val="both"/>
        <w:rPr>
          <w:sz w:val="22"/>
          <w:szCs w:val="22"/>
        </w:rPr>
      </w:pPr>
    </w:p>
    <w:p w14:paraId="7DEF931F" w14:textId="77777777" w:rsidR="00C32EC7" w:rsidRPr="00C32EC7" w:rsidRDefault="00C32EC7" w:rsidP="00C32EC7">
      <w:pPr>
        <w:pStyle w:val="Default"/>
        <w:jc w:val="both"/>
        <w:rPr>
          <w:sz w:val="22"/>
          <w:szCs w:val="22"/>
        </w:rPr>
      </w:pPr>
      <w:r w:rsidRPr="00C32EC7">
        <w:rPr>
          <w:sz w:val="22"/>
          <w:szCs w:val="22"/>
        </w:rPr>
        <w:t>En giltig begäran inkluderar:</w:t>
      </w:r>
    </w:p>
    <w:p w14:paraId="6AEC0F4F" w14:textId="77777777" w:rsidR="00C32EC7" w:rsidRPr="00C32EC7" w:rsidRDefault="00C32EC7" w:rsidP="00C32EC7">
      <w:pPr>
        <w:pStyle w:val="Default"/>
        <w:jc w:val="both"/>
        <w:rPr>
          <w:sz w:val="22"/>
          <w:szCs w:val="22"/>
        </w:rPr>
      </w:pPr>
    </w:p>
    <w:p w14:paraId="7D143E0F" w14:textId="77777777" w:rsidR="00C32EC7" w:rsidRPr="00C32EC7" w:rsidRDefault="00C32EC7" w:rsidP="00C32EC7">
      <w:pPr>
        <w:pStyle w:val="Default"/>
        <w:numPr>
          <w:ilvl w:val="0"/>
          <w:numId w:val="3"/>
        </w:numPr>
        <w:jc w:val="both"/>
        <w:rPr>
          <w:sz w:val="22"/>
          <w:szCs w:val="22"/>
        </w:rPr>
      </w:pPr>
      <w:r w:rsidRPr="00C32EC7">
        <w:rPr>
          <w:sz w:val="22"/>
          <w:szCs w:val="22"/>
        </w:rPr>
        <w:t>Din kontaktinformation (namn och adress);</w:t>
      </w:r>
    </w:p>
    <w:p w14:paraId="0C9DC91A" w14:textId="77777777" w:rsidR="00C32EC7" w:rsidRPr="00C32EC7" w:rsidRDefault="00C32EC7" w:rsidP="00C32EC7">
      <w:pPr>
        <w:pStyle w:val="Default"/>
        <w:numPr>
          <w:ilvl w:val="0"/>
          <w:numId w:val="3"/>
        </w:numPr>
        <w:jc w:val="both"/>
        <w:rPr>
          <w:sz w:val="22"/>
          <w:szCs w:val="22"/>
        </w:rPr>
      </w:pPr>
      <w:r w:rsidRPr="00C32EC7">
        <w:rPr>
          <w:sz w:val="22"/>
          <w:szCs w:val="22"/>
        </w:rPr>
        <w:t>Det bankkontonummer dit du vill ha återbetalningen;</w:t>
      </w:r>
    </w:p>
    <w:p w14:paraId="1C38A378" w14:textId="77777777" w:rsidR="00C32EC7" w:rsidRPr="00C32EC7" w:rsidRDefault="00C32EC7" w:rsidP="00C32EC7">
      <w:pPr>
        <w:pStyle w:val="Default"/>
        <w:numPr>
          <w:ilvl w:val="0"/>
          <w:numId w:val="3"/>
        </w:numPr>
        <w:jc w:val="both"/>
        <w:rPr>
          <w:sz w:val="22"/>
          <w:szCs w:val="22"/>
        </w:rPr>
      </w:pPr>
      <w:r w:rsidRPr="00C32EC7">
        <w:rPr>
          <w:sz w:val="22"/>
          <w:szCs w:val="22"/>
        </w:rPr>
        <w:t>Inköpsbevis (med inköpsdatum, belopp och produktinformation); och</w:t>
      </w:r>
    </w:p>
    <w:p w14:paraId="063CC439" w14:textId="43E3EED6" w:rsidR="0065429E" w:rsidRDefault="00C32EC7" w:rsidP="00C32EC7">
      <w:pPr>
        <w:pStyle w:val="Default"/>
        <w:numPr>
          <w:ilvl w:val="0"/>
          <w:numId w:val="3"/>
        </w:numPr>
        <w:jc w:val="both"/>
        <w:rPr>
          <w:sz w:val="22"/>
          <w:szCs w:val="22"/>
        </w:rPr>
      </w:pPr>
      <w:r w:rsidRPr="00C32EC7">
        <w:rPr>
          <w:sz w:val="22"/>
          <w:szCs w:val="22"/>
        </w:rPr>
        <w:t>Tydlig bild av produkten.</w:t>
      </w:r>
    </w:p>
    <w:p w14:paraId="3734AC17" w14:textId="77777777" w:rsidR="00C32EC7" w:rsidRPr="0065429E" w:rsidRDefault="00C32EC7" w:rsidP="00C32EC7">
      <w:pPr>
        <w:pStyle w:val="Default"/>
        <w:jc w:val="both"/>
        <w:rPr>
          <w:sz w:val="22"/>
          <w:szCs w:val="22"/>
          <w:lang w:val="en-US"/>
        </w:rPr>
      </w:pPr>
    </w:p>
    <w:p w14:paraId="06508D1B" w14:textId="3D3984BE" w:rsidR="0065429E" w:rsidRDefault="00C32EC7" w:rsidP="0065429E">
      <w:pPr>
        <w:pStyle w:val="Default"/>
        <w:jc w:val="both"/>
        <w:rPr>
          <w:sz w:val="22"/>
          <w:szCs w:val="22"/>
          <w:lang w:val="en-US"/>
        </w:rPr>
      </w:pPr>
      <w:r w:rsidRPr="00C32EC7">
        <w:rPr>
          <w:sz w:val="22"/>
          <w:szCs w:val="22"/>
          <w:lang w:val="en-US"/>
        </w:rPr>
        <w:t>The Cookware Company kommer att behandla din begäran inom 10 dagar efter mottagandet. Du kommer att få nödvändiga instruktioner för att returnera produkten. Efter mottagandet av den returnerade produkten kommer The Cookware Company att verifiera din begäran inom 10 arbetsdagar. Om din begäran anses giltig kommer du att få återbetalningen till det angivna bankkontonumret inom 30 dagar efter mottagandet av den returnerade produkten.</w:t>
      </w:r>
    </w:p>
    <w:p w14:paraId="2212E5C6" w14:textId="77777777" w:rsidR="00C32EC7" w:rsidRPr="0065429E" w:rsidRDefault="00C32EC7" w:rsidP="0065429E">
      <w:pPr>
        <w:pStyle w:val="Default"/>
        <w:jc w:val="both"/>
        <w:rPr>
          <w:sz w:val="22"/>
          <w:szCs w:val="22"/>
          <w:lang w:val="en-US"/>
        </w:rPr>
      </w:pPr>
    </w:p>
    <w:p w14:paraId="6569BA0A" w14:textId="3AF5888D" w:rsidR="0065429E" w:rsidRDefault="00C32EC7" w:rsidP="0065429E">
      <w:pPr>
        <w:pStyle w:val="Default"/>
        <w:jc w:val="both"/>
        <w:rPr>
          <w:b/>
          <w:bCs/>
          <w:sz w:val="22"/>
          <w:szCs w:val="22"/>
          <w:u w:val="single"/>
          <w:lang w:val="en-US"/>
        </w:rPr>
      </w:pPr>
      <w:r w:rsidRPr="00C32EC7">
        <w:rPr>
          <w:b/>
          <w:bCs/>
          <w:sz w:val="22"/>
          <w:szCs w:val="22"/>
          <w:u w:val="single"/>
          <w:lang w:val="en-US"/>
        </w:rPr>
        <w:t>Allmän information</w:t>
      </w:r>
    </w:p>
    <w:p w14:paraId="0843E0B9" w14:textId="33525E32" w:rsidR="00C32EC7" w:rsidRDefault="00C32EC7" w:rsidP="0065429E">
      <w:pPr>
        <w:pStyle w:val="Default"/>
        <w:jc w:val="both"/>
        <w:rPr>
          <w:b/>
          <w:bCs/>
          <w:sz w:val="22"/>
          <w:szCs w:val="22"/>
          <w:lang w:val="en-US"/>
        </w:rPr>
      </w:pPr>
    </w:p>
    <w:p w14:paraId="2B508AE2" w14:textId="167E1184" w:rsidR="0065429E" w:rsidRDefault="00C32EC7" w:rsidP="0065429E">
      <w:pPr>
        <w:pStyle w:val="Default"/>
        <w:jc w:val="both"/>
        <w:rPr>
          <w:sz w:val="22"/>
          <w:szCs w:val="22"/>
          <w:lang w:val="en-US"/>
        </w:rPr>
      </w:pPr>
      <w:r w:rsidRPr="00C32EC7">
        <w:rPr>
          <w:sz w:val="22"/>
          <w:szCs w:val="22"/>
          <w:lang w:val="en-US"/>
        </w:rPr>
        <w:t>Dessa villkor påverkar inte tillämpliga bestämmelser, såsom lagstadgade garantirättigheter.</w:t>
      </w:r>
    </w:p>
    <w:p w14:paraId="49015205" w14:textId="77777777" w:rsidR="0065429E" w:rsidRPr="0065429E" w:rsidRDefault="0065429E" w:rsidP="0065429E">
      <w:pPr>
        <w:pStyle w:val="Default"/>
        <w:jc w:val="both"/>
        <w:rPr>
          <w:sz w:val="22"/>
          <w:szCs w:val="22"/>
          <w:lang w:val="en-US"/>
        </w:rPr>
      </w:pPr>
    </w:p>
    <w:p w14:paraId="1740D9F0" w14:textId="613F370A" w:rsidR="0065429E" w:rsidRDefault="00C32EC7" w:rsidP="0065429E">
      <w:pPr>
        <w:pStyle w:val="Default"/>
        <w:jc w:val="both"/>
        <w:rPr>
          <w:sz w:val="22"/>
          <w:szCs w:val="22"/>
          <w:lang w:val="en-US"/>
        </w:rPr>
      </w:pPr>
      <w:r w:rsidRPr="00C32EC7">
        <w:rPr>
          <w:sz w:val="22"/>
          <w:szCs w:val="22"/>
          <w:lang w:val="en-US"/>
        </w:rPr>
        <w:t xml:space="preserve">Om det uppstår tekniska eller logistiska problem under pengarna-tillbaka-garantin kommer The Cookware Company att försöka lösa problemet så snart som möjligt efter bästa förmåga. The </w:t>
      </w:r>
      <w:r w:rsidRPr="00C32EC7">
        <w:rPr>
          <w:sz w:val="22"/>
          <w:szCs w:val="22"/>
          <w:lang w:val="en-US"/>
        </w:rPr>
        <w:lastRenderedPageBreak/>
        <w:t>Cookware Company är inte på något sätt skyldigt att förlänga giltighetstiden för pengarna-tillbaka-garantin.</w:t>
      </w:r>
    </w:p>
    <w:p w14:paraId="23604E3F" w14:textId="77777777" w:rsidR="00C32EC7" w:rsidRDefault="00C32EC7" w:rsidP="0065429E">
      <w:pPr>
        <w:pStyle w:val="Default"/>
        <w:jc w:val="both"/>
        <w:rPr>
          <w:sz w:val="22"/>
          <w:szCs w:val="22"/>
          <w:lang w:val="en-US"/>
        </w:rPr>
      </w:pPr>
    </w:p>
    <w:p w14:paraId="3F4921C2" w14:textId="5707F0BC" w:rsidR="0065429E" w:rsidRDefault="00C32EC7" w:rsidP="0065429E">
      <w:pPr>
        <w:pStyle w:val="Default"/>
        <w:jc w:val="both"/>
        <w:rPr>
          <w:sz w:val="22"/>
          <w:szCs w:val="22"/>
          <w:lang w:val="en-US"/>
        </w:rPr>
      </w:pPr>
      <w:r w:rsidRPr="00C32EC7">
        <w:rPr>
          <w:sz w:val="22"/>
          <w:szCs w:val="22"/>
          <w:lang w:val="en-US"/>
        </w:rPr>
        <w:t>The Cookware Company ansvarar inte för tillgängligheten av de deltagande produkterna hos Återförsäljaren. Om de deltagande produkterna inte finns i lager under den period som pengarna-tillbaka-garantin gäller, finns det ingen rätt att delta i pengarna-tillbaka-garantin efter denna period.</w:t>
      </w:r>
    </w:p>
    <w:p w14:paraId="507C9791" w14:textId="77777777" w:rsidR="00C32EC7" w:rsidRPr="0065429E" w:rsidRDefault="00C32EC7" w:rsidP="0065429E">
      <w:pPr>
        <w:pStyle w:val="Default"/>
        <w:jc w:val="both"/>
        <w:rPr>
          <w:sz w:val="22"/>
          <w:szCs w:val="22"/>
          <w:lang w:val="en-US"/>
        </w:rPr>
      </w:pPr>
    </w:p>
    <w:p w14:paraId="7C0A3DCA" w14:textId="47CA08C1" w:rsidR="0065429E" w:rsidRDefault="00C32EC7" w:rsidP="0065429E">
      <w:pPr>
        <w:pStyle w:val="Default"/>
        <w:jc w:val="both"/>
        <w:rPr>
          <w:sz w:val="22"/>
          <w:szCs w:val="22"/>
          <w:lang w:val="en-US"/>
        </w:rPr>
      </w:pPr>
      <w:r w:rsidRPr="00C32EC7">
        <w:rPr>
          <w:sz w:val="22"/>
          <w:szCs w:val="22"/>
          <w:lang w:val="en-US"/>
        </w:rPr>
        <w:t>The Cookware Company förbehåller sig rätten att ändra dessa villkor utan rätt till ersättning eller alternativ åtgärd, i någon form som helst.</w:t>
      </w:r>
    </w:p>
    <w:p w14:paraId="2D20D8EA" w14:textId="77777777" w:rsidR="00C32EC7" w:rsidRPr="0065429E" w:rsidRDefault="00C32EC7" w:rsidP="0065429E">
      <w:pPr>
        <w:pStyle w:val="Default"/>
        <w:jc w:val="both"/>
        <w:rPr>
          <w:sz w:val="22"/>
          <w:szCs w:val="22"/>
          <w:lang w:val="en-US"/>
        </w:rPr>
      </w:pPr>
    </w:p>
    <w:p w14:paraId="5A1B5A09" w14:textId="6E97FE74" w:rsidR="0065429E" w:rsidRDefault="00C32EC7" w:rsidP="0065429E">
      <w:pPr>
        <w:pStyle w:val="Default"/>
        <w:jc w:val="both"/>
        <w:rPr>
          <w:sz w:val="22"/>
          <w:szCs w:val="22"/>
          <w:lang w:val="en-US"/>
        </w:rPr>
      </w:pPr>
      <w:r w:rsidRPr="00C32EC7">
        <w:rPr>
          <w:sz w:val="22"/>
          <w:szCs w:val="22"/>
          <w:lang w:val="en-US"/>
        </w:rPr>
        <w:t>The Cookware Company ansvarar inte för felaktig information om denna pengarna-tillbaka-garanti som återförsäljaren har lämnat.</w:t>
      </w:r>
    </w:p>
    <w:p w14:paraId="02393000" w14:textId="77777777" w:rsidR="00C32EC7" w:rsidRPr="0065429E" w:rsidRDefault="00C32EC7" w:rsidP="0065429E">
      <w:pPr>
        <w:pStyle w:val="Default"/>
        <w:jc w:val="both"/>
        <w:rPr>
          <w:sz w:val="22"/>
          <w:szCs w:val="22"/>
          <w:lang w:val="en-US"/>
        </w:rPr>
      </w:pPr>
    </w:p>
    <w:p w14:paraId="2158591D" w14:textId="6A0710E0" w:rsidR="0065429E" w:rsidRDefault="00C32EC7" w:rsidP="0065429E">
      <w:pPr>
        <w:pStyle w:val="Default"/>
        <w:jc w:val="both"/>
        <w:rPr>
          <w:sz w:val="22"/>
          <w:szCs w:val="22"/>
        </w:rPr>
      </w:pPr>
      <w:r w:rsidRPr="00C32EC7">
        <w:rPr>
          <w:sz w:val="22"/>
          <w:szCs w:val="22"/>
          <w:lang w:val="en-US"/>
        </w:rPr>
        <w:t xml:space="preserve">The Cookware Company förbehåller sig rätten att utreda ditt deltagande för bedrägeri. </w:t>
      </w:r>
      <w:r w:rsidRPr="00C32EC7">
        <w:rPr>
          <w:sz w:val="22"/>
          <w:szCs w:val="22"/>
        </w:rPr>
        <w:t>Vid allvarlig misstanke om bedrägeri kan The Cookware Company neka ditt deltagande.</w:t>
      </w:r>
    </w:p>
    <w:p w14:paraId="47CA60A6" w14:textId="77777777" w:rsidR="00C32EC7" w:rsidRPr="00C32EC7" w:rsidRDefault="00C32EC7" w:rsidP="0065429E">
      <w:pPr>
        <w:pStyle w:val="Default"/>
        <w:jc w:val="both"/>
        <w:rPr>
          <w:sz w:val="22"/>
          <w:szCs w:val="22"/>
        </w:rPr>
      </w:pPr>
    </w:p>
    <w:p w14:paraId="4A2A3E75" w14:textId="69A78203" w:rsidR="0065429E" w:rsidRDefault="00A161C0" w:rsidP="0065429E">
      <w:pPr>
        <w:pStyle w:val="Default"/>
        <w:jc w:val="both"/>
        <w:rPr>
          <w:sz w:val="22"/>
          <w:szCs w:val="22"/>
        </w:rPr>
      </w:pPr>
      <w:r w:rsidRPr="00A161C0">
        <w:rPr>
          <w:sz w:val="22"/>
          <w:szCs w:val="22"/>
        </w:rPr>
        <w:t>Om en bestämmelse förklaras ogiltig ska dessa villkor tolkas som om den ogiltiga eller ogenomförbara bestämmelsen aldrig hade funnits med.</w:t>
      </w:r>
    </w:p>
    <w:p w14:paraId="083BEE13" w14:textId="77777777" w:rsidR="00A161C0" w:rsidRPr="00A161C0" w:rsidRDefault="00A161C0" w:rsidP="0065429E">
      <w:pPr>
        <w:pStyle w:val="Default"/>
        <w:jc w:val="both"/>
        <w:rPr>
          <w:sz w:val="22"/>
          <w:szCs w:val="22"/>
        </w:rPr>
      </w:pPr>
    </w:p>
    <w:p w14:paraId="22AF0004" w14:textId="6928509F" w:rsidR="0065429E" w:rsidRPr="00E15970" w:rsidRDefault="00A161C0" w:rsidP="00A161C0">
      <w:pPr>
        <w:pStyle w:val="Default"/>
        <w:jc w:val="both"/>
        <w:rPr>
          <w:sz w:val="22"/>
          <w:szCs w:val="22"/>
        </w:rPr>
      </w:pPr>
      <w:r w:rsidRPr="00A161C0">
        <w:rPr>
          <w:sz w:val="22"/>
          <w:szCs w:val="22"/>
        </w:rPr>
        <w:t xml:space="preserve">Dessa villkor och alla tvister eller anspråk som uppstår på grund av eller i samband med dessa villkor, deras innehåll eller utformning, ska regleras av och tolkas i enlighet med belgisk lag. </w:t>
      </w:r>
      <w:r w:rsidRPr="00E15970">
        <w:rPr>
          <w:sz w:val="22"/>
          <w:szCs w:val="22"/>
        </w:rPr>
        <w:t>Vardera parten samtycker oåterkalleligen till att domstolarna i Gent (Belgien) ska ha exklusiv behörighet att avgöra alla tvister eller anspråk som uppstår till följd av eller i samband med detta avtal, dess innehåll eller utformning.</w:t>
      </w:r>
    </w:p>
    <w:p w14:paraId="6F960F30" w14:textId="77777777" w:rsidR="00A161C0" w:rsidRPr="00E15970" w:rsidRDefault="00A161C0" w:rsidP="00A161C0">
      <w:pPr>
        <w:pStyle w:val="Default"/>
        <w:jc w:val="both"/>
        <w:rPr>
          <w:sz w:val="22"/>
          <w:szCs w:val="22"/>
        </w:rPr>
      </w:pPr>
    </w:p>
    <w:p w14:paraId="59FE523D" w14:textId="757D79A5" w:rsidR="0065429E" w:rsidRPr="00E15970" w:rsidRDefault="00A161C0" w:rsidP="0065429E">
      <w:pPr>
        <w:pStyle w:val="Default"/>
        <w:jc w:val="both"/>
        <w:rPr>
          <w:b/>
          <w:bCs/>
          <w:sz w:val="22"/>
          <w:szCs w:val="22"/>
          <w:u w:val="single"/>
        </w:rPr>
      </w:pPr>
      <w:r w:rsidRPr="00E15970">
        <w:rPr>
          <w:b/>
          <w:bCs/>
          <w:sz w:val="22"/>
          <w:szCs w:val="22"/>
          <w:u w:val="single"/>
        </w:rPr>
        <w:t>Kontaktuppgifter</w:t>
      </w:r>
    </w:p>
    <w:p w14:paraId="38CEE08A" w14:textId="77777777" w:rsidR="00A161C0" w:rsidRDefault="00A161C0" w:rsidP="0065429E">
      <w:pPr>
        <w:pStyle w:val="Default"/>
        <w:jc w:val="both"/>
        <w:rPr>
          <w:sz w:val="22"/>
          <w:szCs w:val="22"/>
        </w:rPr>
      </w:pPr>
    </w:p>
    <w:p w14:paraId="700D62A9" w14:textId="1D90FFB3" w:rsidR="003318B4" w:rsidRDefault="00A161C0" w:rsidP="00A161C0">
      <w:pPr>
        <w:jc w:val="both"/>
      </w:pPr>
      <w:r w:rsidRPr="00A161C0">
        <w:t xml:space="preserve">Om du har några frågor och/eller klagomål, vänligen kontakta oss via https://support.kitchenaidtools.com/. </w:t>
      </w:r>
      <w:r w:rsidRPr="00A161C0">
        <w:rPr>
          <w:lang w:val="en-US"/>
        </w:rPr>
        <w:t>Vi kommer att hantera din begäran så snart som möjligt.</w:t>
      </w:r>
    </w:p>
    <w:sectPr w:rsidR="003318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433C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B63B19"/>
    <w:multiLevelType w:val="hybridMultilevel"/>
    <w:tmpl w:val="BB80B00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72DD69B3"/>
    <w:multiLevelType w:val="hybridMultilevel"/>
    <w:tmpl w:val="5D04ECDE"/>
    <w:lvl w:ilvl="0" w:tplc="0813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934318678">
    <w:abstractNumId w:val="0"/>
  </w:num>
  <w:num w:numId="2" w16cid:durableId="1277711593">
    <w:abstractNumId w:val="2"/>
  </w:num>
  <w:num w:numId="3" w16cid:durableId="1170731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29E"/>
    <w:rsid w:val="00057FC5"/>
    <w:rsid w:val="003318B4"/>
    <w:rsid w:val="00331A68"/>
    <w:rsid w:val="0065429E"/>
    <w:rsid w:val="00A161C0"/>
    <w:rsid w:val="00C32EC7"/>
    <w:rsid w:val="00E1597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24A63"/>
  <w15:chartTrackingRefBased/>
  <w15:docId w15:val="{FE8E6055-C568-42B2-8604-3CC2518F1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4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4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4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4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4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4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4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4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4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4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4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4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4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4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4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4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429E"/>
    <w:rPr>
      <w:rFonts w:eastAsiaTheme="majorEastAsia" w:cstheme="majorBidi"/>
      <w:color w:val="272727" w:themeColor="text1" w:themeTint="D8"/>
    </w:rPr>
  </w:style>
  <w:style w:type="paragraph" w:styleId="Title">
    <w:name w:val="Title"/>
    <w:basedOn w:val="Normal"/>
    <w:next w:val="Normal"/>
    <w:link w:val="TitleChar"/>
    <w:uiPriority w:val="10"/>
    <w:qFormat/>
    <w:rsid w:val="00654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4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4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4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429E"/>
    <w:pPr>
      <w:spacing w:before="160"/>
      <w:jc w:val="center"/>
    </w:pPr>
    <w:rPr>
      <w:i/>
      <w:iCs/>
      <w:color w:val="404040" w:themeColor="text1" w:themeTint="BF"/>
    </w:rPr>
  </w:style>
  <w:style w:type="character" w:customStyle="1" w:styleId="QuoteChar">
    <w:name w:val="Quote Char"/>
    <w:basedOn w:val="DefaultParagraphFont"/>
    <w:link w:val="Quote"/>
    <w:uiPriority w:val="29"/>
    <w:rsid w:val="0065429E"/>
    <w:rPr>
      <w:i/>
      <w:iCs/>
      <w:color w:val="404040" w:themeColor="text1" w:themeTint="BF"/>
    </w:rPr>
  </w:style>
  <w:style w:type="paragraph" w:styleId="ListParagraph">
    <w:name w:val="List Paragraph"/>
    <w:basedOn w:val="Normal"/>
    <w:uiPriority w:val="34"/>
    <w:qFormat/>
    <w:rsid w:val="0065429E"/>
    <w:pPr>
      <w:ind w:left="720"/>
      <w:contextualSpacing/>
    </w:pPr>
  </w:style>
  <w:style w:type="character" w:styleId="IntenseEmphasis">
    <w:name w:val="Intense Emphasis"/>
    <w:basedOn w:val="DefaultParagraphFont"/>
    <w:uiPriority w:val="21"/>
    <w:qFormat/>
    <w:rsid w:val="0065429E"/>
    <w:rPr>
      <w:i/>
      <w:iCs/>
      <w:color w:val="0F4761" w:themeColor="accent1" w:themeShade="BF"/>
    </w:rPr>
  </w:style>
  <w:style w:type="paragraph" w:styleId="IntenseQuote">
    <w:name w:val="Intense Quote"/>
    <w:basedOn w:val="Normal"/>
    <w:next w:val="Normal"/>
    <w:link w:val="IntenseQuoteChar"/>
    <w:uiPriority w:val="30"/>
    <w:qFormat/>
    <w:rsid w:val="00654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429E"/>
    <w:rPr>
      <w:i/>
      <w:iCs/>
      <w:color w:val="0F4761" w:themeColor="accent1" w:themeShade="BF"/>
    </w:rPr>
  </w:style>
  <w:style w:type="character" w:styleId="IntenseReference">
    <w:name w:val="Intense Reference"/>
    <w:basedOn w:val="DefaultParagraphFont"/>
    <w:uiPriority w:val="32"/>
    <w:qFormat/>
    <w:rsid w:val="0065429E"/>
    <w:rPr>
      <w:b/>
      <w:bCs/>
      <w:smallCaps/>
      <w:color w:val="0F4761" w:themeColor="accent1" w:themeShade="BF"/>
      <w:spacing w:val="5"/>
    </w:rPr>
  </w:style>
  <w:style w:type="paragraph" w:customStyle="1" w:styleId="Default">
    <w:name w:val="Default"/>
    <w:rsid w:val="0065429E"/>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615</Words>
  <Characters>3384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Banken</dc:creator>
  <cp:keywords/>
  <dc:description/>
  <cp:lastModifiedBy>Justine Banken</cp:lastModifiedBy>
  <cp:revision>3</cp:revision>
  <dcterms:created xsi:type="dcterms:W3CDTF">2024-05-23T11:50:00Z</dcterms:created>
  <dcterms:modified xsi:type="dcterms:W3CDTF">2024-06-13T08:46:00Z</dcterms:modified>
</cp:coreProperties>
</file>